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Wolfgang Bock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9</w:t>
            </w:r>
            <w:r w:rsidR="004B0868">
              <w:rPr>
                <w:rFonts w:ascii="Arial" w:hAnsi="Arial" w:cs="Arial"/>
                <w:b/>
                <w:sz w:val="28"/>
                <w:szCs w:val="28"/>
              </w:rPr>
              <w:br/>
            </w:r>
            <w:r w:rsidR="004B0868" w:rsidRPr="00083670">
              <w:rPr>
                <w:rFonts w:ascii="Arial" w:hAnsi="Arial" w:cs="Arial"/>
                <w:sz w:val="28"/>
                <w:szCs w:val="28"/>
              </w:rPr>
              <w:t>5. Jahrgang (1999)</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131</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14,80 x 21,00 cm 
              </w:t>
            </w:r>
            <w:r w:rsidR="007778EB" w:rsidRPr="00570594">
              <w:rPr>
                <w:rFonts w:ascii="Arial" w:hAnsi="Arial" w:cs="Arial"/>
                <w:sz w:val="18"/>
                <w:szCs w:val="18"/>
              </w:rPr>
              <w:br/>
              <w:t xml:space="preserve">Euro (D) </w:t>
            </w:r>
            <w:r w:rsidRPr="00570594">
              <w:rPr>
                <w:rFonts w:ascii="Arial" w:hAnsi="Arial" w:cs="Arial"/>
                <w:sz w:val="18"/>
                <w:szCs w:val="18"/>
              </w:rPr>
              <w:t>11,99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9783866748682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21.12.2020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Aus dem Inhalt:
Rolf Wiggershaus: "Die Schönheit bringt das Grauen unnachgiebig an den Tag". Kunst und Trauma im 20. Jahrhundert;
Claus-Steffen Mahnkopf: Ästhetische Modernität und kompositorische Kritik. Adornos Musikphilosophie;
Gernot Böhme: Kritische Theorie der Natur;
Christoph Görg: Kritik der Naturbeherrschung;
Regina Becker-Schmidt: Soziale Ungleichheit und Identitätspolitik. Eine Kontroverse zwischen feministischem Pragmatismus und Kritischer Theorie;
Gudrun Axeli-Knapp: Flaschenpost und Tomate. Anmerkungen zur Frage einer "Kritischen Theorie der Gegenwart";
Zygmunt Baumann: Critique – Privatized and Disarmed</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