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Wolfgang Bock (Hrsg.), Sven Kramer (Hrsg.), Gerhard Schweppenhäuser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24/25</w:t>
            </w:r>
            <w:r w:rsidR="004B0868">
              <w:rPr>
                <w:rFonts w:ascii="Arial" w:hAnsi="Arial" w:cs="Arial"/>
                <w:b/>
                <w:sz w:val="28"/>
                <w:szCs w:val="28"/>
              </w:rPr>
              <w:br/>
            </w:r>
            <w:r w:rsidR="004B0868" w:rsidRPr="00083670">
              <w:rPr>
                <w:rFonts w:ascii="Arial" w:hAnsi="Arial" w:cs="Arial"/>
                <w:sz w:val="28"/>
                <w:szCs w:val="28"/>
              </w:rPr>
              <w:t>13. Jahrgang (2007)</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261</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15,00 x 21,00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9783866748477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20.11.2020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Inhalt: 
Hermann Schweppenhäuser: Bemerkungen zur Bedeutung ausdruckstheoretischer und kulturphysiognomischer, Studien für eine interdisziplinäre, Kulturwissenschaft. Eine Skizze.
Gunzelin Schmid Noerr: Der symbolische Zeichengebrauch, in der Lebenswelt, im Alltagsmythos, und in der Kunst
José M. Romero: Adornos gesellschaftliche Physiognomik als dialektische Interpretation
Jan C. Schmidt: Realkonstruktivismus als kritischmaterialistische, Erkenntnistheorie
Andreas Woyke: Gedanken zur modernen Aporetik, instrumenteller Rationalität
Cristian Alvarado Leyton: Kapitaleliten und ihr meritokratischer Mythos. Zur Verbindung des marxschen und bourdieuschen Kapitalbegriffs als Grundlage für eine kritische Elitenforschung
Oliver Kozlarek: Eine Geographie der Befreiung. Boaventura de Sousa Santos’ Kritik an der Vergeudung von Erfahrungen
Astrid Deuber-Mankowsky: »Nichts ist politisch. Alles, ist politisierbar«. Biomacht und Politik
Christoph Türcke: Das Wahrheitsparadox
Roger Behrens im Gespräch mit Claus-Steffen Mahnkopf über das Projekt einer ›Kritischen Theorie der Musik‹: »Man müsste das komplette Musiksystem umbauen.«
Micha Brumlik im Gespräch mit Eveline Goodman-Thau: Zerbrochene Schalen und Bilderverbot. Adorno als jüdischer Denker
Tim Raupach: Töne und Zeichen. Zwei neue Publikationen zur kritischen Kulturtheorie
Marc Kleine: Adorno and Ethics. Eine Sondernummer der New German Critique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