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Claus-Steffen Mahnkopf, Ulrich Müller, Gunnar Hindrichs, Andreas Hess, Darko Suvin, Robert Kurz, 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 Zeitschrift für kritische Theorie, Heft 7</w:t>
            </w:r>
            <w:r w:rsidR="004B0868">
              <w:rPr>
                <w:rFonts w:ascii="Arial" w:hAnsi="Arial" w:cs="Arial"/>
                <w:b/>
                <w:sz w:val="28"/>
                <w:szCs w:val="28"/>
              </w:rPr>
              <w:br/>
            </w:r>
            <w:r w:rsidR="004B0868" w:rsidRPr="00083670">
              <w:rPr>
                <w:rFonts w:ascii="Arial" w:hAnsi="Arial" w:cs="Arial"/>
                <w:sz w:val="28"/>
                <w:szCs w:val="28"/>
              </w:rPr>
              <w:t>4. Jahrgang (1998)</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117</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9783866748026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16.03.2022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Herausgeber und Redaktion verstehen die Zeitschrift erstens als Diskussionsforum für die materiale Anwendung kritischer Theorie auf aktuelle Gegenstände und zweitens als Rahmen für das Gespräch zwischen den verschiedenen methodologischen Auffassungen über die heutige Form kritischer Theorie. Drittens geht es schließlich darum, vereinzelte theoretische Anstrengungen thematisch zu bündeln und kontinuierlich zu präsentieren. Damit beabsichtigen wir, Autoren zu motivieren, sich an jenem Klärungs- und Aufklärungsprozess zu beteiligen, für den das Projekt kritischer Theorie(n) nach wie vor – oder mehr denn je? – steht.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CLAUS-STEFFEN MAHNKOPF:
          <w:br/>
          Claus-Steffen Mahnkopf, Jahrgang 1962, studierte Musik und Philosophie. Er ist Komponist mit einem umfangreichen Werk in allen Gattungen sowie Autor zahlreicher Bücher. Er gibt die Zeitschrift »Musik &amp; Ästhetik« heraus und lehrt als Professor für Komposition an der Hochschule für Musik und Theater Leipzig »Felix Mendelssohn Bartholdy«. Bei zu Klampen veröffentlichte er »Deutschland oder Jerusalem« (2013).
          <w:br/>
          <w:br/>
          ROBERT KURZ:
          <w:br/>
          Robert Kurz, geboren 1943, studierte Philosophie, Geschichte und Pädagogik. Er arbeitete als freier Publizist, Autor und Journalist und war Mitbegründer und Redakteur der Theoriezeitschrift »exit! – Krise und Kritik der Warengesellschaft«. Sein Buch »Der Kollaps der Modernisierung. Vom Zusammenbruch des Kasernensozialismus zur Krise der Weltökonomie« löste eine große Kontroverse aus. Er starb 2012. Im Jahr 2021 erschien von ihm »Weltordnungskrieg« bei zu Klampen.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