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Region Hannover, Team Regionale Naherholung (Hrsg.), Michaela Mäkel</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Unterwegs in der Fahrradregion Hannover</w:t>
            </w:r>
            <w:r w:rsidR="004B0868">
              <w:rPr>
                <w:rFonts w:ascii="Arial" w:hAnsi="Arial" w:cs="Arial"/>
                <w:b/>
                <w:sz w:val="28"/>
                <w:szCs w:val="28"/>
              </w:rPr>
              <w:br/>
            </w:r>
            <w:r w:rsidR="004B0868" w:rsidRPr="00083670">
              <w:rPr>
                <w:rFonts w:ascii="Arial" w:hAnsi="Arial" w:cs="Arial"/>
                <w:sz w:val="28"/>
                <w:szCs w:val="28"/>
              </w:rPr>
              <w:t>Freizeitradwegekarte</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Karte (gefaltet)
                <w:br/>
                Format: 10,00 x 22,00 cm 
              </w:t>
            </w:r>
            <w:r w:rsidR="007778EB" w:rsidRPr="00570594">
              <w:rPr>
                <w:rFonts w:ascii="Arial" w:hAnsi="Arial" w:cs="Arial"/>
                <w:sz w:val="18"/>
                <w:szCs w:val="18"/>
              </w:rPr>
              <w:br/>
              <w:t xml:space="preserve">Euro (D) </w:t>
            </w:r>
            <w:r w:rsidRPr="00570594">
              <w:rPr>
                <w:rFonts w:ascii="Arial" w:hAnsi="Arial" w:cs="Arial"/>
                <w:sz w:val="18"/>
                <w:szCs w:val="18"/>
              </w:rPr>
              <w:t>7,90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9783866745445</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31.08.2016</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Diese Fahrradkarte zeigt Ihnen die schönsten Touren durch die Region Hannover. Maßstab 1:75.000
          <w:br/>
        </w:t>
      </w:r>
      <w:r w:rsidR="00A4482C">
        <w:rPr>
          <w:rFonts w:ascii="Arial" w:hAnsi="Arial" w:cs="Arial"/>
          <w:b/>
          <w:sz w:val="22"/>
          <w:szCs w:val="22"/>
        </w:rPr>
        <w:br/>
      </w:r>
      <w:r w:rsidR="00D6603A" w:rsidRPr="0073685A">
        <w:rPr>
          <w:rFonts w:ascii="Arial" w:hAnsi="Arial" w:cs="Arial"/>
          <w:sz w:val="22"/>
          <w:szCs w:val="22"/>
        </w:rPr>
        <w:t>Die Radwege von unterschiedlicher Länge führen Sie durch die abwechslungsreiche Region Hannover. Von der Nordhannoverschen Moorroute, über den Leine-Heide-Radweg, bis zum Deisterkreisel oder vom Maschsee bis zum Expo-Gelände. Diese Karte zeigt Ihnen die interessantesten Wege durch die niedersächsische Landeshauptstadt. Maßstab 1:75.000</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REGION HANNOVER, TEAM REGIONALE NAHERHOLUNG:
          <w:br/>
          Die Region Hannover ist bislang ein bundesweit einmaliges Modell für die Wahrnehmung von Verwaltungsaufgaben. Hervorgegangen 2001 aus dem Zusammenschluss des Landkreises Hannover und des Kommunalverbandes Großraum Hannover, bündelt die Gebietskörperschaft heute wesentliche Leistungen der Daseinsvorsorge für 1,1 Millionen Einwohnerinnen und Einwohner in 21 Städten und Gemeinden - die Landeshauptstadt Hannover eingeschlossen. So ist die Region Hannover zum Beispiel Trägerin des öffentlichen Personennahverkehrs und der Abfallentsorgung, aber auch der örtlichen Sozialhilfe, der Berufsbildenden Schulen und der kommunalen Krankenhäsuer. Umwelt, Regionalplanung und Naherholung sowie Wirtschafts- und Beschäftigungsförderung sind weitere Aufgabenbereiche. Bei zu Klampen veröffentlichte das Team Regionale Naherholung »Unterwegs in der Fahrradregion Hannover« (2016).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