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Christoph Türcke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Luther – Steckbrief eines Überzeugungstäters</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118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9783866745438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14.10.2016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Zum Lutherjahr erklärt der Philosoph und Theologe Christoph Türcke, warum Luthers drastische Ausfälle gegen Juden, Bauern und Hexen keineswegs bloß beiläufige Ausrutscher waren …
          <w:br/>
        </w:t>
      </w:r>
      <w:r w:rsidR="00A4482C">
        <w:rPr>
          <w:rFonts w:ascii="Arial" w:hAnsi="Arial" w:cs="Arial"/>
          <w:b/>
          <w:sz w:val="22"/>
          <w:szCs w:val="22"/>
        </w:rPr>
        <w:br/>
      </w:r>
      <w:r w:rsidR="00D6603A" w:rsidRPr="0073685A">
        <w:rPr>
          <w:rFonts w:ascii="Arial" w:hAnsi="Arial" w:cs="Arial"/>
          <w:sz w:val="22"/>
          <w:szCs w:val="22"/>
        </w:rPr>
        <w:t>Auf dem Reichstag zu Worms trotzte Luther Kaiser und Reich und berief sich dabei auf nichts als sein Gewissen und seine Glaubensüberzeugung. Doch diese Überzeugung gebar auch Ungeheuer. Seine Ausfälle gegen aufrührerische Bauern, gegen Juden und Hexen kamen aus dem Herzen seines Glaubens und zeigen den gnadenlosen Untergrund seiner Gnadenlehre. Gefeiert wird Luther als Wegbereiter moderner Gewissensfreiheit. Aber war seine Reformation nicht eher ein gewissenhafter Durchbruch zu spezifisch neuzeitlichen Gewaltverhältnissen? Die Verinnerlichung von Herrschaft aus Überzeugung ist jedenfalls eine signifikant protestantische Mitgift.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CHRISTOPH TÜRCKE:
          <w:br/>
          Christoph Türcke, Jahrgang 1948, ist emeritierter Professor für Philosophie an der Hochschule für Grafik und Buchkunst in Leipzig und Autor zahlreicher Bücher. Er wurde ausgezeichnet mit dem Sigmund-Freud-Kulturpreis. Von ihm erschienen bei zu Klampen »Vermittlung als Gott« (1986, 1994), »Perspektiven Kritischer Theorie« (1988), »Zum ideologiekritischen Potential der Theologie« (1990), »Heilige Hure Vernunft« (1991), »Die neue Geschäftigkeit« (1992), »Gewalt und Tabu« (1992), »Religionswende« (1995), »Kassensturz« (1997, 2011), »Der tolle Mensch. Nietzsche und der Wahnsinn der Vernunft« (1999, 2014), »Sexus und Geist« (2001, 2014), »Fundamentalismus – maskierter Nihilismus« (2003), »Heimat. Eine Rehabilitierung« (2006), »Jesu Traum. Psychoanalyse des Neuen Testaments« (2009), »Der tolle Mensch. Nietzsche und der Wahnsinn der Vernunft« (2014), »Sexus und Geist« (2014), »Gewalt und Tabu« (2014), »Luther – Steckbrief eines Überzeugungstäters« (2016), »Nietzsches Vernunftpassion« (2017), »Umsonst leiden« (2017), »Blasphemie« (2017, EPUB) und »Quote, Rasse, Gender(n)«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