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Gesa Klaffke-Lobsien, Kaspar Klaffke, Jutta Alms</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GartenLeben in der Alten Gärtnerei</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224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24,00 x 21,00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9783866745490</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02.03.2017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Autoren leben seit Jahren in einer alten hannoverschen Gärtnerei: ein außergewöhnliches Gartenportrait über das ganze Jahr in Bildern und Texten.
          <w:br/>
        </w:t>
      </w:r>
      <w:r w:rsidR="00A4482C">
        <w:rPr>
          <w:rFonts w:ascii="Arial" w:hAnsi="Arial" w:cs="Arial"/>
          <w:b/>
          <w:sz w:val="22"/>
          <w:szCs w:val="22"/>
        </w:rPr>
        <w:br/>
      </w:r>
      <w:r w:rsidR="00D6603A" w:rsidRPr="0073685A">
        <w:rPr>
          <w:rFonts w:ascii="Arial" w:hAnsi="Arial" w:cs="Arial"/>
          <w:sz w:val="22"/>
          <w:szCs w:val="22"/>
        </w:rPr>
        <w:t>Gärtnern kann mehr sein als ein Hobby, kann uns als ein Lebensmodell helfen, unsere kulturellen Beziehungen zur natürlichen Umwelt zu klären. Die Autoren leben seit 15 Jahren in einer ehemaligen Gärtnerei. Ihr Gartendenken und -handeln reicht weit darüber hinaus. In diesem Buch beschreiben sie das Konzept für ihr Gartenwohnhaus. Sie nehmen den Leser mit auf eine Reise durchs Jahr, schildern die atemberaubenden jahreszeitlichen Veränderungen und beleuchten ausgewählte Facetten ihres alltäglichen, sozialen und kulturellen Gartenlebens. Jutta Alms hat sie auf dieser Reise mit Sympathie und wachen Augen fotografierend begleitet.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JUTTA ALMS:
          <w:br/>
          Alms, Jahrgang 1963, studierte Mathematik und Informatik in Hannover. Sie interessierte sich schon als Kind für die Fotografie. Die Liebe zu Gärten entdeckte sie 1997 in der Normandie. Seitdem hat sie sich auf zahlreichen Reisen sowie im Rahmen der Offenen Pforte Hannover mit der Kamera in der Hand damit beschäftigt, den Zauber und die Atmosphäre verschiedener Gärten fotografisch einzufangen.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